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E5" w:rsidRPr="002A566C" w:rsidRDefault="001436E5" w:rsidP="001436E5">
      <w:pPr>
        <w:pStyle w:val="Fejezetcm"/>
      </w:pPr>
      <w:bookmarkStart w:id="0" w:name="_Toc508224108"/>
      <w:r>
        <w:t>Hallgatói balesetvédelmi szabályzat</w:t>
      </w:r>
      <w:bookmarkEnd w:id="0"/>
    </w:p>
    <w:p w:rsidR="001436E5" w:rsidRDefault="001436E5" w:rsidP="001436E5">
      <w:pPr>
        <w:pStyle w:val="Cmsor2"/>
      </w:pPr>
      <w:bookmarkStart w:id="1" w:name="_Toc432144313"/>
      <w:bookmarkStart w:id="2" w:name="_Toc508224109"/>
      <w:r>
        <w:t>A HBSZ célja</w:t>
      </w:r>
      <w:bookmarkEnd w:id="1"/>
      <w:bookmarkEnd w:id="2"/>
    </w:p>
    <w:p w:rsidR="001436E5" w:rsidRDefault="001436E5" w:rsidP="001436E5">
      <w:pPr>
        <w:pStyle w:val="paragrafus1"/>
        <w:numPr>
          <w:ilvl w:val="0"/>
          <w:numId w:val="4"/>
        </w:numPr>
        <w:ind w:left="284" w:firstLine="0"/>
      </w:pPr>
    </w:p>
    <w:p w:rsidR="001436E5" w:rsidRDefault="001436E5" w:rsidP="001436E5">
      <w:pPr>
        <w:pStyle w:val="paragrafus2"/>
      </w:pPr>
      <w:r>
        <w:t>A HBSZ rendelkezik az egyetem hallgatóira vonatkozó balesetvédelmi, tűzvédelmi és vagyonvédelmi előírásokról, a hallgatók munkavégzésének, munka- és tűzvédelmi oktatásának szabályozásáról, a balesettel összefüggésben álló hallgatói jogviszony szüneteléséről, a munkabalesetek bejelentéséről és kivizsgálásáról, valamint a vagyonvédelmi szabályokról.</w:t>
      </w:r>
    </w:p>
    <w:p w:rsidR="001436E5" w:rsidRDefault="001436E5" w:rsidP="001436E5">
      <w:pPr>
        <w:pStyle w:val="Cmsor2"/>
      </w:pPr>
      <w:bookmarkStart w:id="3" w:name="_Toc225216514"/>
      <w:bookmarkStart w:id="4" w:name="_Toc239223114"/>
      <w:bookmarkStart w:id="5" w:name="_Toc432144314"/>
      <w:bookmarkStart w:id="6" w:name="_Toc150676525"/>
      <w:bookmarkStart w:id="7" w:name="_Toc151781036"/>
      <w:bookmarkStart w:id="8" w:name="_Toc508224110"/>
      <w:r>
        <w:t>A HBSZ hatálya</w:t>
      </w:r>
      <w:bookmarkEnd w:id="3"/>
      <w:bookmarkEnd w:id="4"/>
      <w:bookmarkEnd w:id="5"/>
      <w:bookmarkEnd w:id="8"/>
    </w:p>
    <w:p w:rsidR="001436E5" w:rsidRDefault="001436E5" w:rsidP="001436E5">
      <w:pPr>
        <w:pStyle w:val="paragrafus1"/>
        <w:numPr>
          <w:ilvl w:val="0"/>
          <w:numId w:val="4"/>
        </w:numPr>
        <w:ind w:left="142" w:firstLine="0"/>
      </w:pPr>
    </w:p>
    <w:p w:rsidR="001436E5" w:rsidRDefault="001436E5" w:rsidP="001436E5">
      <w:pPr>
        <w:pStyle w:val="paragrafus2"/>
      </w:pPr>
      <w:r>
        <w:t>A HBSZ hatálya az egyetemmel hallgatói jogviszonyban állókra – az intézmény használata, az elméleti oktatás, szakmai gyakorlat, nyári szünidő alatti munkavégzés, kutatómunka és a hallgatói jogviszony fennállása mellett a főiskolán végzett munka esetére –, valamint a hallgatókkal kapcsolatban valamennyi munkatársra kiterjed.</w:t>
      </w:r>
    </w:p>
    <w:p w:rsidR="001436E5" w:rsidRPr="00287F82" w:rsidRDefault="001436E5" w:rsidP="001436E5">
      <w:pPr>
        <w:pStyle w:val="paragrafus2"/>
      </w:pPr>
      <w:r>
        <w:t xml:space="preserve">A HBSZ előírásainak megszegése – a cselekmény, mulasztás vagy annak nyomán bekövetkezett eset súlyosságától és jellegétől függően – fegyelmi, szabálysértési, büntető, illetve polgári jogi eljárást vonhat maga után. </w:t>
      </w:r>
    </w:p>
    <w:p w:rsidR="001436E5" w:rsidRDefault="001436E5" w:rsidP="001436E5">
      <w:pPr>
        <w:pStyle w:val="paragrafus2"/>
      </w:pPr>
      <w:r>
        <w:t>A HBSZ-ben foglaltak be nem tartása esetén, fegyelmi eljárás indítása esetén a Hallgatói Fegyelmi és Kártérítési Szabályzat (a továbbiakban: HFSZ) szerint kell eljárni, amelynek hatálya kiterjed a hallgatók fegyelmi és kártérítési ügyeire.</w:t>
      </w:r>
    </w:p>
    <w:p w:rsidR="001436E5" w:rsidRDefault="001436E5" w:rsidP="001436E5">
      <w:pPr>
        <w:pStyle w:val="paragrafus2"/>
      </w:pPr>
      <w:r>
        <w:t>A HBSZ hatálya kiterjed a kollégiumokra is.</w:t>
      </w:r>
    </w:p>
    <w:p w:rsidR="001436E5" w:rsidRDefault="001436E5" w:rsidP="001436E5">
      <w:pPr>
        <w:pStyle w:val="Cmsor2"/>
      </w:pPr>
      <w:bookmarkStart w:id="9" w:name="_Toc225216515"/>
      <w:bookmarkStart w:id="10" w:name="_Toc239223115"/>
      <w:bookmarkStart w:id="11" w:name="_Toc432144315"/>
      <w:bookmarkStart w:id="12" w:name="_Toc508224111"/>
      <w:r>
        <w:t>Kapcsolódó dokumentumok</w:t>
      </w:r>
      <w:bookmarkEnd w:id="9"/>
      <w:bookmarkEnd w:id="10"/>
      <w:bookmarkEnd w:id="11"/>
      <w:bookmarkEnd w:id="12"/>
    </w:p>
    <w:p w:rsidR="001436E5" w:rsidRDefault="001436E5" w:rsidP="001436E5">
      <w:pPr>
        <w:pStyle w:val="paragrafus1"/>
        <w:numPr>
          <w:ilvl w:val="0"/>
          <w:numId w:val="4"/>
        </w:numPr>
        <w:ind w:left="142" w:firstLine="0"/>
      </w:pPr>
    </w:p>
    <w:p w:rsidR="001436E5" w:rsidRDefault="001436E5" w:rsidP="001436E5">
      <w:pPr>
        <w:pStyle w:val="paragrafus2"/>
      </w:pPr>
      <w:r>
        <w:t>A HBSZ-hez kapcsolódó dokumentumok:</w:t>
      </w:r>
    </w:p>
    <w:p w:rsidR="001436E5" w:rsidRDefault="001436E5" w:rsidP="001436E5">
      <w:pPr>
        <w:pStyle w:val="Gondolatjeles"/>
      </w:pPr>
      <w:r>
        <w:t>a nemzeti felsőoktatásról szóló 2011. évi CCIV. törvény (a továbbiakban: Nftv.),</w:t>
      </w:r>
    </w:p>
    <w:p w:rsidR="001436E5" w:rsidRDefault="001436E5" w:rsidP="001436E5">
      <w:pPr>
        <w:pStyle w:val="Gondolatjeles"/>
      </w:pPr>
      <w:r>
        <w:t>a munkavédelemről szóló 1993. évi XCIII. törvény</w:t>
      </w:r>
    </w:p>
    <w:p w:rsidR="001436E5" w:rsidRDefault="001436E5" w:rsidP="001436E5">
      <w:pPr>
        <w:pStyle w:val="Gondolatjeles"/>
      </w:pPr>
      <w:r>
        <w:t>a tűz elleni védekezésről, a műszaki mentésről és a tűzoltóságról szóló 1996. évi XXXI. törvény</w:t>
      </w:r>
    </w:p>
    <w:p w:rsidR="001436E5" w:rsidRDefault="001436E5" w:rsidP="001436E5">
      <w:pPr>
        <w:pStyle w:val="Gondolatjeles"/>
      </w:pPr>
      <w:r>
        <w:t>a tűzvédelmi szabályzat készítéséről szóló 30/1996 (XII.6.) BM rendelet</w:t>
      </w:r>
    </w:p>
    <w:p w:rsidR="001436E5" w:rsidRDefault="001436E5" w:rsidP="001436E5">
      <w:pPr>
        <w:pStyle w:val="Cmsor2"/>
      </w:pPr>
      <w:bookmarkStart w:id="13" w:name="_Toc225216516"/>
      <w:bookmarkStart w:id="14" w:name="_Toc239223116"/>
      <w:bookmarkStart w:id="15" w:name="_Toc432144316"/>
      <w:bookmarkStart w:id="16" w:name="_Toc508224112"/>
      <w:r>
        <w:t>A hallgató kötelezettségei</w:t>
      </w:r>
      <w:bookmarkEnd w:id="13"/>
      <w:bookmarkEnd w:id="14"/>
      <w:bookmarkEnd w:id="15"/>
      <w:bookmarkEnd w:id="16"/>
    </w:p>
    <w:p w:rsidR="001436E5" w:rsidRDefault="001436E5" w:rsidP="001436E5">
      <w:pPr>
        <w:pStyle w:val="paragrafus1"/>
        <w:numPr>
          <w:ilvl w:val="0"/>
          <w:numId w:val="4"/>
        </w:numPr>
        <w:ind w:left="284" w:firstLine="0"/>
      </w:pPr>
    </w:p>
    <w:p w:rsidR="001436E5" w:rsidRDefault="001436E5" w:rsidP="001436E5">
      <w:pPr>
        <w:pStyle w:val="paragrafus2"/>
      </w:pPr>
      <w:r>
        <w:t>A hallgató köteles az egyetemen tartózkodása során a használati szabályokat és magatartási követelményeket betartani.</w:t>
      </w:r>
    </w:p>
    <w:p w:rsidR="001436E5" w:rsidRDefault="001436E5" w:rsidP="001436E5">
      <w:pPr>
        <w:pStyle w:val="paragrafus2"/>
      </w:pPr>
      <w:r>
        <w:t>A HBSZ-ben, illetve a helyi előírásokban foglalt követelményeket, az oktató, illetve gyakorlatot, munkát vezető személy által szóban kiadott munka-, tűzvédelmi és vagyonvédelmi utasításokat be kell tartani.</w:t>
      </w:r>
    </w:p>
    <w:p w:rsidR="001436E5" w:rsidRDefault="001436E5" w:rsidP="001436E5">
      <w:pPr>
        <w:pStyle w:val="paragrafus2"/>
      </w:pPr>
      <w:r>
        <w:t>Baleset, tűzeset, nyilvánvaló bűncselekmény észlelése esetén riasztani kell a</w:t>
      </w:r>
    </w:p>
    <w:p w:rsidR="001436E5" w:rsidRDefault="001436E5" w:rsidP="001436E5">
      <w:pPr>
        <w:pStyle w:val="Gondolatjeles"/>
      </w:pPr>
      <w:r>
        <w:lastRenderedPageBreak/>
        <w:t xml:space="preserve">mentőket a </w:t>
      </w:r>
      <w:r>
        <w:tab/>
        <w:t>104</w:t>
      </w:r>
    </w:p>
    <w:p w:rsidR="001436E5" w:rsidRDefault="001436E5" w:rsidP="001436E5">
      <w:pPr>
        <w:pStyle w:val="Gondolatjeles"/>
      </w:pPr>
      <w:r>
        <w:t>tűzoltóságot a</w:t>
      </w:r>
      <w:r>
        <w:tab/>
        <w:t>105</w:t>
      </w:r>
    </w:p>
    <w:p w:rsidR="001436E5" w:rsidRDefault="001436E5" w:rsidP="001436E5">
      <w:pPr>
        <w:pStyle w:val="Gondolatjeles"/>
      </w:pPr>
      <w:r>
        <w:t xml:space="preserve">rendőrséget a </w:t>
      </w:r>
      <w:r>
        <w:tab/>
        <w:t>107 hívószámon.</w:t>
      </w:r>
    </w:p>
    <w:p w:rsidR="001436E5" w:rsidRDefault="001436E5" w:rsidP="001436E5">
      <w:pPr>
        <w:pStyle w:val="Gondolatjeles"/>
        <w:numPr>
          <w:ilvl w:val="0"/>
          <w:numId w:val="0"/>
        </w:numPr>
        <w:ind w:left="425"/>
      </w:pPr>
      <w:r>
        <w:t>A hívás sikertelensége esetén a 112 segélyhívószámot kell hívni.</w:t>
      </w:r>
    </w:p>
    <w:p w:rsidR="001436E5" w:rsidRDefault="001436E5" w:rsidP="001436E5">
      <w:pPr>
        <w:pStyle w:val="Gondolatjeles"/>
        <w:numPr>
          <w:ilvl w:val="0"/>
          <w:numId w:val="0"/>
        </w:numPr>
        <w:ind w:left="425"/>
      </w:pPr>
      <w:r>
        <w:t>(A hívások minden telefonról ingyenesek.)</w:t>
      </w:r>
    </w:p>
    <w:p w:rsidR="001436E5" w:rsidRDefault="001436E5" w:rsidP="001436E5">
      <w:pPr>
        <w:pStyle w:val="paragrafus2"/>
      </w:pPr>
      <w:r>
        <w:t>A tűzjelzésnek tartalmaznia kell</w:t>
      </w:r>
    </w:p>
    <w:p w:rsidR="001436E5" w:rsidRDefault="001436E5" w:rsidP="001436E5">
      <w:pPr>
        <w:pStyle w:val="Gondolatjeles"/>
      </w:pPr>
      <w:r>
        <w:t>a tűzeset pontos helyét, az épület címet (helység, utca, házszám),</w:t>
      </w:r>
    </w:p>
    <w:p w:rsidR="001436E5" w:rsidRDefault="001436E5" w:rsidP="001436E5">
      <w:pPr>
        <w:pStyle w:val="Gondolatjeles"/>
      </w:pPr>
      <w:r>
        <w:t>a tűz kiterjedését, a tűzben részt vevő anyagok fajtáját,</w:t>
      </w:r>
    </w:p>
    <w:p w:rsidR="001436E5" w:rsidRDefault="001436E5" w:rsidP="001436E5">
      <w:pPr>
        <w:pStyle w:val="Gondolatjeles"/>
      </w:pPr>
      <w:r>
        <w:t>információt a veszélyeztetett személyekről,</w:t>
      </w:r>
    </w:p>
    <w:p w:rsidR="001436E5" w:rsidRDefault="001436E5" w:rsidP="001436E5">
      <w:pPr>
        <w:pStyle w:val="Gondolatjeles"/>
      </w:pPr>
      <w:r>
        <w:t>további veszélyhelyzet kialakulásának lehetőségét,</w:t>
      </w:r>
    </w:p>
    <w:p w:rsidR="001436E5" w:rsidRDefault="001436E5" w:rsidP="001436E5">
      <w:pPr>
        <w:pStyle w:val="Gondolatjeles"/>
      </w:pPr>
      <w:r>
        <w:t>a jelzést adó nevét és a használt telefonszámát.</w:t>
      </w:r>
    </w:p>
    <w:p w:rsidR="001436E5" w:rsidRDefault="001436E5" w:rsidP="001436E5">
      <w:pPr>
        <w:pStyle w:val="paragrafus2"/>
      </w:pPr>
      <w:r>
        <w:t>Az épületben tartózkodókat riasztani kell, és a rendelkezésre álló tűzoltó eszközökkel (kézi tűzoltó készülék, fali tűzcsap) meg kell kísérelni a tűz eloltását.</w:t>
      </w:r>
    </w:p>
    <w:p w:rsidR="001436E5" w:rsidRDefault="001436E5" w:rsidP="001436E5">
      <w:pPr>
        <w:pStyle w:val="paragrafus2"/>
      </w:pPr>
      <w:r>
        <w:t>A hallgatónak a veszélyhelyzet felszámolásában – életkora, egészségi, fizikai állapota alapján elvárható módon – részt kell vennie, és az erre vonatkozó utasításokat haladéktalanul végre kell hajtania.</w:t>
      </w:r>
    </w:p>
    <w:p w:rsidR="001436E5" w:rsidRDefault="001436E5" w:rsidP="001436E5">
      <w:pPr>
        <w:pStyle w:val="Cmsor2"/>
      </w:pPr>
      <w:bookmarkStart w:id="17" w:name="_Toc225216517"/>
      <w:bookmarkStart w:id="18" w:name="_Toc239223117"/>
      <w:bookmarkStart w:id="19" w:name="_Toc432144317"/>
      <w:bookmarkStart w:id="20" w:name="_Toc508224113"/>
      <w:r>
        <w:t>Kötelező érvényű használati szabályok és magatartási követelmények</w:t>
      </w:r>
      <w:bookmarkEnd w:id="17"/>
      <w:bookmarkEnd w:id="18"/>
      <w:bookmarkEnd w:id="19"/>
      <w:bookmarkEnd w:id="20"/>
    </w:p>
    <w:p w:rsidR="001436E5" w:rsidRDefault="001436E5" w:rsidP="001436E5">
      <w:pPr>
        <w:pStyle w:val="paragrafus1"/>
        <w:numPr>
          <w:ilvl w:val="0"/>
          <w:numId w:val="4"/>
        </w:numPr>
        <w:ind w:left="0" w:firstLine="0"/>
      </w:pPr>
    </w:p>
    <w:p w:rsidR="001436E5" w:rsidRPr="00287F82" w:rsidRDefault="001436E5" w:rsidP="001436E5">
      <w:pPr>
        <w:pStyle w:val="paragrafus2"/>
      </w:pPr>
      <w:bookmarkStart w:id="21" w:name="_Ref271123772"/>
      <w:r>
        <w:t>A hallgató köteles az előírt helyen és időben oktatásra, tanulásra képes állapotban megjelenni.</w:t>
      </w:r>
    </w:p>
    <w:p w:rsidR="001436E5" w:rsidRDefault="001436E5" w:rsidP="001436E5">
      <w:pPr>
        <w:pStyle w:val="paragrafus2"/>
      </w:pPr>
      <w:r>
        <w:t>A hallgató az egyetem területén, a kollégiumokban tartózkodva mások egészségét és testi épségét, az egyetem vagyonát és a személyek magántulajdonát nem veszélyeztetheti, környezetszennyezést vagy környezetkárosítást nem követhet el.</w:t>
      </w:r>
      <w:bookmarkEnd w:id="21"/>
    </w:p>
    <w:p w:rsidR="001436E5" w:rsidRDefault="001436E5" w:rsidP="001436E5">
      <w:pPr>
        <w:pStyle w:val="paragrafus2"/>
      </w:pPr>
      <w:r>
        <w:t>Minden hallgató jogosult arra, hogy a tanulmányai folytatásához szükséges biztonságos feltételek a rendelkezésére álljanak.</w:t>
      </w:r>
    </w:p>
    <w:p w:rsidR="001436E5" w:rsidRDefault="001436E5" w:rsidP="001436E5">
      <w:pPr>
        <w:pStyle w:val="paragrafus2"/>
      </w:pPr>
      <w:r>
        <w:t>A hallgató köteles a rendelkezésére bocsátott oktatási és munkaeszközök biztonságos állapotáról a tőle elvárható módon meggyőződni, azt rendeltetésének megfelelően és az oktató utasításai szerint használni.</w:t>
      </w:r>
    </w:p>
    <w:p w:rsidR="001436E5" w:rsidRPr="00287F82" w:rsidRDefault="001436E5" w:rsidP="001436E5">
      <w:pPr>
        <w:pStyle w:val="paragrafus2"/>
      </w:pPr>
      <w:r>
        <w:t xml:space="preserve">A hallgató köteles az egyetem laboratóriumainak laboratóriumhasználati rendjét betartani. </w:t>
      </w:r>
    </w:p>
    <w:p w:rsidR="001436E5" w:rsidRDefault="001436E5" w:rsidP="001436E5">
      <w:pPr>
        <w:pStyle w:val="paragrafus2"/>
      </w:pPr>
      <w:r>
        <w:t>Az egyetem területén a KRESZ szabályai érvényesek.</w:t>
      </w:r>
    </w:p>
    <w:p w:rsidR="001436E5" w:rsidRPr="007C7583" w:rsidRDefault="001436E5" w:rsidP="001436E5">
      <w:pPr>
        <w:pStyle w:val="paragrafus2"/>
      </w:pPr>
      <w:r w:rsidRPr="00A606EE">
        <w:t>A</w:t>
      </w:r>
      <w:r>
        <w:t>z egyetem székhelyén, Campusain és telephelyein, beleértve a parkolókat, parkokat is</w:t>
      </w:r>
      <w:r w:rsidRPr="00A606EE">
        <w:t xml:space="preserve"> </w:t>
      </w:r>
      <w:r>
        <w:t>–</w:t>
      </w:r>
      <w:r w:rsidRPr="00A606EE">
        <w:t xml:space="preserve"> a dohányzásra kijelölt helyek kivételével </w:t>
      </w:r>
      <w:r>
        <w:t>–</w:t>
      </w:r>
      <w:r w:rsidRPr="00A606EE">
        <w:t xml:space="preserve"> dohányozni</w:t>
      </w:r>
      <w:r>
        <w:t xml:space="preserve"> </w:t>
      </w:r>
      <w:r w:rsidRPr="00A606EE">
        <w:t>tilos!</w:t>
      </w:r>
    </w:p>
    <w:p w:rsidR="001436E5" w:rsidRDefault="001436E5" w:rsidP="001436E5">
      <w:pPr>
        <w:pStyle w:val="paragrafus2"/>
      </w:pPr>
      <w:r>
        <w:t>Cigarettacsikket, egyéb éghető anyagot eldobni, hulladékgyűjtőbe dobni nem szabad.</w:t>
      </w:r>
    </w:p>
    <w:p w:rsidR="001436E5" w:rsidRDefault="001436E5" w:rsidP="001436E5">
      <w:pPr>
        <w:pStyle w:val="paragrafus2"/>
      </w:pPr>
      <w:r>
        <w:t>Nem lehet étkezni az előadókban és a munkaterületeken.</w:t>
      </w:r>
    </w:p>
    <w:p w:rsidR="001436E5" w:rsidRDefault="001436E5" w:rsidP="001436E5">
      <w:pPr>
        <w:pStyle w:val="paragrafus2"/>
      </w:pPr>
      <w:r>
        <w:t>Az egyetem területén meg kell őrizni a rendet és tisztaságot. A hulladékot a rendelkezésre álló hulladékgyűjtőknek megfelelően szelektíven kell elhelyezni.</w:t>
      </w:r>
    </w:p>
    <w:p w:rsidR="001436E5" w:rsidRDefault="001436E5" w:rsidP="001436E5">
      <w:pPr>
        <w:pStyle w:val="paragrafus2"/>
      </w:pPr>
      <w:r>
        <w:t>A hallgatónak a baleset, tűzeset, káresemény kialakulásának veszélyét jelentenie kell az oktatónak vagy az egyetem bármely dolgozójának.</w:t>
      </w:r>
    </w:p>
    <w:p w:rsidR="001436E5" w:rsidRDefault="001436E5" w:rsidP="001436E5">
      <w:pPr>
        <w:pStyle w:val="paragrafus2"/>
      </w:pPr>
      <w:r>
        <w:t>Aki az egyetem termének kulcsát átveszi, a terem elhagyása előtt az elektromos berendezések, gépek áramtalanításáról, visszazárásáról köteles gondoskodni.</w:t>
      </w:r>
    </w:p>
    <w:p w:rsidR="001436E5" w:rsidRDefault="001436E5" w:rsidP="001436E5">
      <w:pPr>
        <w:pStyle w:val="Cmsor2"/>
      </w:pPr>
      <w:bookmarkStart w:id="22" w:name="_Toc239223118"/>
      <w:bookmarkStart w:id="23" w:name="_Toc432144318"/>
      <w:bookmarkStart w:id="24" w:name="_Toc225216518"/>
      <w:bookmarkStart w:id="25" w:name="_Toc508224114"/>
      <w:r>
        <w:lastRenderedPageBreak/>
        <w:t>Ittas vagy bódult hallgatóval szembeni eljárás</w:t>
      </w:r>
      <w:bookmarkEnd w:id="22"/>
      <w:bookmarkEnd w:id="23"/>
      <w:bookmarkEnd w:id="25"/>
    </w:p>
    <w:p w:rsidR="001436E5" w:rsidRDefault="001436E5" w:rsidP="001436E5">
      <w:pPr>
        <w:pStyle w:val="paragrafus1"/>
        <w:numPr>
          <w:ilvl w:val="0"/>
          <w:numId w:val="4"/>
        </w:numPr>
        <w:ind w:left="0" w:firstLine="0"/>
      </w:pPr>
    </w:p>
    <w:p w:rsidR="001436E5" w:rsidRDefault="001436E5" w:rsidP="001436E5">
      <w:pPr>
        <w:pStyle w:val="paragrafus2"/>
      </w:pPr>
      <w:r>
        <w:t>Amennyiben az oktató, gyakorlatot vezető vagy bármely munkatárs azt észleli, hogy az egyetem területén, illetve a kihelyezett oktatási, gyakorlati helyszínen a hallgató ittas vagy bódult állapotban van jelen, alkoholszondás vizsgálatot kezdeményezhet.</w:t>
      </w:r>
    </w:p>
    <w:p w:rsidR="001436E5" w:rsidRDefault="001436E5" w:rsidP="001436E5">
      <w:pPr>
        <w:pStyle w:val="paragrafus2"/>
      </w:pPr>
      <w:r>
        <w:t xml:space="preserve">Az alkoholszondás vizsgálatot a munkaköri leírása szerint arra jogosult végezheti el 1 tanú jelenlétében. </w:t>
      </w:r>
    </w:p>
    <w:p w:rsidR="001436E5" w:rsidRDefault="001436E5" w:rsidP="001436E5">
      <w:pPr>
        <w:pStyle w:val="paragrafus2"/>
      </w:pPr>
      <w:r w:rsidRPr="00325BD6">
        <w:t xml:space="preserve">A hallgató </w:t>
      </w:r>
      <w:r>
        <w:t xml:space="preserve">az alkoholszondás vizsgálatot </w:t>
      </w:r>
      <w:r w:rsidRPr="00325BD6">
        <w:t>meg</w:t>
      </w:r>
      <w:r>
        <w:t xml:space="preserve">tagadhatja. </w:t>
      </w:r>
      <w:r w:rsidRPr="00325BD6">
        <w:t xml:space="preserve">Pozitív szondázási eredmény esetén kérheti, hogy végezzenek rajta véralkohol vizsgálatot </w:t>
      </w:r>
      <w:r>
        <w:t>is. Pozitív eredmény esetén a vérvizsgálat költségeit a hallgató viseli.</w:t>
      </w:r>
    </w:p>
    <w:p w:rsidR="001436E5" w:rsidRDefault="001436E5" w:rsidP="001436E5">
      <w:pPr>
        <w:pStyle w:val="paragrafus2"/>
      </w:pPr>
      <w:r>
        <w:t xml:space="preserve">Pozitív eredmény esetén a hallgatónak el kell hagynia az egyetem területét, illetve a kihelyezett oktatási, gyakorlati helyszínt. </w:t>
      </w:r>
    </w:p>
    <w:p w:rsidR="001436E5" w:rsidRDefault="001436E5" w:rsidP="001436E5">
      <w:pPr>
        <w:pStyle w:val="paragrafus2"/>
      </w:pPr>
      <w:r>
        <w:t>A vizsgálatról jegyzőkönyv készül, amely tartalmazza a szondázás eredményét, vagy azt, hogy a hallgató megta</w:t>
      </w:r>
      <w:r w:rsidRPr="00DE28B2">
        <w:t>gadta a vizsgálatot. A jegyzőkönyvet megküldik</w:t>
      </w:r>
      <w:r>
        <w:t xml:space="preserve"> a Hallgatói Fegyelmi Bizottság (továbbiakban: HFB) elnökének</w:t>
      </w:r>
      <w:r w:rsidRPr="00DE28B2">
        <w:t>.</w:t>
      </w:r>
    </w:p>
    <w:p w:rsidR="001436E5" w:rsidRDefault="001436E5" w:rsidP="001436E5">
      <w:pPr>
        <w:pStyle w:val="paragrafus2"/>
      </w:pPr>
      <w:r>
        <w:t>A HFB elnöke a hallgató ellen fegyelmi eljárást kezdeményezhet.</w:t>
      </w:r>
    </w:p>
    <w:p w:rsidR="001436E5" w:rsidRDefault="001436E5" w:rsidP="001436E5">
      <w:pPr>
        <w:pStyle w:val="Cmsor2"/>
      </w:pPr>
      <w:bookmarkStart w:id="26" w:name="_Toc239223119"/>
      <w:bookmarkStart w:id="27" w:name="_Toc432144319"/>
      <w:bookmarkStart w:id="28" w:name="_Toc508224115"/>
      <w:r>
        <w:t>A hallgatók munka- és tűzvédelmi oktatásának szabályozása</w:t>
      </w:r>
      <w:bookmarkEnd w:id="24"/>
      <w:bookmarkEnd w:id="26"/>
      <w:bookmarkEnd w:id="27"/>
      <w:bookmarkEnd w:id="28"/>
    </w:p>
    <w:p w:rsidR="001436E5" w:rsidRDefault="001436E5" w:rsidP="001436E5">
      <w:pPr>
        <w:pStyle w:val="paragrafus1"/>
        <w:numPr>
          <w:ilvl w:val="0"/>
          <w:numId w:val="4"/>
        </w:numPr>
        <w:ind w:hanging="7513"/>
      </w:pPr>
    </w:p>
    <w:p w:rsidR="001436E5" w:rsidRDefault="001436E5" w:rsidP="001436E5">
      <w:pPr>
        <w:pStyle w:val="paragrafus2"/>
      </w:pPr>
      <w:r>
        <w:t>A hallgatók előzetes, általános elméleti munka- és tűzvédelmi oktatására normál felvételi eljárásban felvett hallgatók esetében az őszi félévben, keresztfélévben felvételt nyert hallgatók esetében a tavaszi félévben a beiratkozáskor, átvett hallgató, vendéghallgató esetén a beiratkozáskor/bejelentkezéskor kerül sor.</w:t>
      </w:r>
    </w:p>
    <w:p w:rsidR="001436E5" w:rsidRDefault="001436E5" w:rsidP="001436E5">
      <w:pPr>
        <w:pStyle w:val="paragrafus2"/>
      </w:pPr>
      <w:r>
        <w:t>A munka- és tűzvédelmi oktatások tartalmazzák az általános és speciális magatartási szabályokat, illetve a munkaterületre, tevékenységre vonatkozó konkrét előírásokat, veszélyforrásokat és a veszélyhelyzetben szükséges teendőket a Tűzriadó Tervben és egyéb vészhelyzeti tervekben foglaltakat.</w:t>
      </w:r>
    </w:p>
    <w:p w:rsidR="001436E5" w:rsidRDefault="001436E5" w:rsidP="001436E5">
      <w:pPr>
        <w:pStyle w:val="paragrafus2"/>
      </w:pPr>
      <w:r>
        <w:t>Tanulmányi kirándulás, szakmai gyakorlat, üzemlátogatás alkalmával a fogadó fél által ismertetett, helyi munka és tűzvédelmi előírásokat, a biztonságos munkavégzés szabályait be kell tartani, az oktatási jegyzőkönyvet alá kell írni.</w:t>
      </w:r>
    </w:p>
    <w:p w:rsidR="001436E5" w:rsidRDefault="001436E5" w:rsidP="001436E5">
      <w:pPr>
        <w:pStyle w:val="paragrafus2"/>
      </w:pPr>
      <w:r>
        <w:t>Időszakos munka- és tűzvédelmi oktatásra kerül sor bekövetkezett balesetet, tűzesetet, kialakult vészhelyzetet követően, a baleset-, munka- és tűzvédelemre ható körülmények, szabályok jelentős változása esetén és új ismereteket igénylő feladat elvégzése előtt.</w:t>
      </w:r>
    </w:p>
    <w:p w:rsidR="001436E5" w:rsidRDefault="001436E5" w:rsidP="001436E5">
      <w:pPr>
        <w:pStyle w:val="paragrafus2"/>
      </w:pPr>
      <w:r>
        <w:t xml:space="preserve">A hallgatóknak évente egy alkalommal Tűzriadó gyakorlaton kell részt venniük és a Tűzriadó Tervben meghatározott teendőket el kell sajátítaniuk. </w:t>
      </w:r>
    </w:p>
    <w:p w:rsidR="001436E5" w:rsidRDefault="001436E5" w:rsidP="001436E5">
      <w:pPr>
        <w:pStyle w:val="paragrafus2"/>
      </w:pPr>
      <w:r>
        <w:rPr>
          <w:rStyle w:val="Lbjegyzet-hivatkozs"/>
        </w:rPr>
        <w:footnoteReference w:id="1"/>
      </w:r>
      <w:r>
        <w:t>A Gólyatáborban résztvevő hallgatók a tábor megkezdésének napján, a HÖK a</w:t>
      </w:r>
      <w:r w:rsidRPr="00764A41">
        <w:t xml:space="preserve"> </w:t>
      </w:r>
      <w:r>
        <w:t>hallgatók részére tartott tájékoztatásával egy időben a munka- és tűzvédelmi szolgáltató által tartott munka- és tűzvédelmi oktatásban is részesülnek.</w:t>
      </w:r>
    </w:p>
    <w:p w:rsidR="001436E5" w:rsidRDefault="001436E5" w:rsidP="001436E5">
      <w:pPr>
        <w:pStyle w:val="paragrafus2"/>
      </w:pPr>
      <w:r>
        <w:t>A hallgatók munka- és tűzvédelmi oktatása nem jeleni azt, hogy a továbbiakban felügyelet nélkül dolgozhatnak.</w:t>
      </w:r>
    </w:p>
    <w:p w:rsidR="001436E5" w:rsidRDefault="001436E5" w:rsidP="001436E5">
      <w:pPr>
        <w:pStyle w:val="Cmsor2"/>
      </w:pPr>
      <w:bookmarkStart w:id="29" w:name="_Toc225216519"/>
      <w:bookmarkStart w:id="30" w:name="_Toc239223120"/>
      <w:bookmarkStart w:id="31" w:name="_Toc432144320"/>
      <w:bookmarkStart w:id="32" w:name="_Toc508224116"/>
      <w:r>
        <w:lastRenderedPageBreak/>
        <w:t>A hallgatók egyetemi munkavégzésének szabályai</w:t>
      </w:r>
      <w:bookmarkEnd w:id="29"/>
      <w:bookmarkEnd w:id="30"/>
      <w:bookmarkEnd w:id="31"/>
      <w:bookmarkEnd w:id="32"/>
    </w:p>
    <w:p w:rsidR="001436E5" w:rsidRDefault="001436E5" w:rsidP="001436E5">
      <w:pPr>
        <w:pStyle w:val="paragrafus1"/>
        <w:numPr>
          <w:ilvl w:val="0"/>
          <w:numId w:val="4"/>
        </w:numPr>
        <w:ind w:hanging="7513"/>
      </w:pPr>
    </w:p>
    <w:p w:rsidR="001436E5" w:rsidRDefault="001436E5" w:rsidP="001436E5">
      <w:pPr>
        <w:pStyle w:val="paragrafus2"/>
      </w:pPr>
      <w:r>
        <w:t>A hallgató munkát hallgatói munkaszerződéssel vagy szakmai gyakorlat, gyakorlati képzés keretén belül végezhet.</w:t>
      </w:r>
    </w:p>
    <w:p w:rsidR="001436E5" w:rsidRDefault="001436E5" w:rsidP="001436E5">
      <w:pPr>
        <w:pStyle w:val="paragrafus2"/>
      </w:pPr>
      <w:r>
        <w:t>Az egyetemen kívüli munkavégzés esetén a hallgatónak a munkáltató munka-, tűz- és balesetvédelemre vonatkozó szabályozását kell betartania.</w:t>
      </w:r>
    </w:p>
    <w:p w:rsidR="001436E5" w:rsidRDefault="001436E5" w:rsidP="001436E5">
      <w:pPr>
        <w:pStyle w:val="paragrafus2"/>
      </w:pPr>
      <w:r>
        <w:t xml:space="preserve">Hallgatói munkaszerződéssel történő foglakoztatás esetén a munkaköri orvosi alkalmasságot igazoló dokumentumokat a </w:t>
      </w:r>
      <w:r w:rsidRPr="002543F3">
        <w:t>Bér-, Munkaügyi és TB Osztály</w:t>
      </w:r>
      <w:r>
        <w:t xml:space="preserve">on kell leadni. </w:t>
      </w:r>
    </w:p>
    <w:p w:rsidR="001436E5" w:rsidRDefault="001436E5" w:rsidP="001436E5">
      <w:pPr>
        <w:pStyle w:val="paragrafus2"/>
      </w:pPr>
      <w:r>
        <w:t>Az egyetemen hallgatói munkaszerződés alapján munkát végző hallgatókra az egyetem Munkavédelmi szabályzata érvényes.</w:t>
      </w:r>
    </w:p>
    <w:p w:rsidR="001436E5" w:rsidRDefault="001436E5" w:rsidP="001436E5">
      <w:pPr>
        <w:pStyle w:val="paragrafus2"/>
      </w:pPr>
      <w:r>
        <w:t>Szakmai gyakorlat, gyakorlati képzés keretében történő munkavégzés során:</w:t>
      </w:r>
    </w:p>
    <w:p w:rsidR="001436E5" w:rsidRPr="00F766AD" w:rsidRDefault="001436E5" w:rsidP="001436E5">
      <w:pPr>
        <w:pStyle w:val="paragrafus3"/>
      </w:pPr>
      <w:r>
        <w:t xml:space="preserve">A </w:t>
      </w:r>
      <w:r w:rsidRPr="00F766AD">
        <w:t>hallgatók nem végezhetnek olyan tevékenységet, amelyre az oktató vagy gyakorlatvető nem ad utasítást, vagy megbízást.</w:t>
      </w:r>
    </w:p>
    <w:p w:rsidR="001436E5" w:rsidRPr="00F766AD" w:rsidRDefault="001436E5" w:rsidP="001436E5">
      <w:pPr>
        <w:pStyle w:val="paragrafus3"/>
      </w:pPr>
      <w:r w:rsidRPr="00F766AD">
        <w:t>A hallgatónak azt a tényt, hogy állapotos vagy fogyatékkal élő, az őt érő kockázatok helyes megítélése érdekében ajánlatos tudatnia a gyakorlati oktatás vezetőjével.</w:t>
      </w:r>
    </w:p>
    <w:p w:rsidR="001436E5" w:rsidRPr="00F766AD" w:rsidRDefault="001436E5" w:rsidP="001436E5">
      <w:pPr>
        <w:pStyle w:val="paragrafus3"/>
      </w:pPr>
      <w:r w:rsidRPr="00F766AD">
        <w:t xml:space="preserve">A hallgató veszélyes munkaeszközt, gépet, berendezést nem kezelhet, illetve ezen nem dolgozhat, felügyelet nélkül munkát nem végezhet, vegyszert, veszélyes anyagot felügyelet nélkül nem használhat. </w:t>
      </w:r>
    </w:p>
    <w:p w:rsidR="001436E5" w:rsidRPr="00F766AD" w:rsidRDefault="001436E5" w:rsidP="001436E5">
      <w:pPr>
        <w:pStyle w:val="paragrafus3"/>
      </w:pPr>
      <w:r w:rsidRPr="00F766AD">
        <w:t>A hallgató laboratóriumi munka megkezdése előtt köteles megismerni a laboratórium használati rendet és annak rendelkezéseit betartani.</w:t>
      </w:r>
    </w:p>
    <w:p w:rsidR="001436E5" w:rsidRPr="00F766AD" w:rsidRDefault="001436E5" w:rsidP="001436E5">
      <w:pPr>
        <w:pStyle w:val="paragrafus3"/>
      </w:pPr>
      <w:r w:rsidRPr="00F766AD">
        <w:t>A gyakorlati oktatás, munkavégzés folyamán csak olyan tevékenységet lehet folytatni, amelyhez a gyakorlat  vezetője hozzájárult.</w:t>
      </w:r>
    </w:p>
    <w:p w:rsidR="001436E5" w:rsidRPr="00F766AD" w:rsidRDefault="001436E5" w:rsidP="001436E5">
      <w:pPr>
        <w:pStyle w:val="paragrafus3"/>
      </w:pPr>
      <w:r w:rsidRPr="00F766AD">
        <w:t>A gyakorlatok során a hallgatók által használható készülékeket, eszközöket a gyakorlat vezető minden foglalkozás előtt ellenőrzi munkavédelmi szempontból. Balesetveszélyes, sérült eszközzel, készülékkel a hallgatók még közvetlen felügyelet mellett sem végezhetnek munkát.</w:t>
      </w:r>
    </w:p>
    <w:p w:rsidR="001436E5" w:rsidRPr="00287F82" w:rsidRDefault="001436E5" w:rsidP="001436E5">
      <w:pPr>
        <w:pStyle w:val="paragrafus3"/>
      </w:pPr>
      <w:r w:rsidRPr="00F766AD">
        <w:t>A készüléke</w:t>
      </w:r>
      <w:r w:rsidRPr="00852D11">
        <w:t>k kezelési utasításában foglaltakat be kell tartani.</w:t>
      </w:r>
    </w:p>
    <w:p w:rsidR="001436E5" w:rsidRPr="00F766AD" w:rsidRDefault="001436E5" w:rsidP="001436E5">
      <w:pPr>
        <w:pStyle w:val="paragrafus3"/>
      </w:pPr>
      <w:r w:rsidRPr="00F766AD">
        <w:t>A veszélyes anyagok, vegyszerek kezelésére vonatkozó szabályokat be kell tartani.</w:t>
      </w:r>
    </w:p>
    <w:p w:rsidR="001436E5" w:rsidRPr="00F766AD" w:rsidRDefault="001436E5" w:rsidP="001436E5">
      <w:pPr>
        <w:pStyle w:val="paragrafus3"/>
      </w:pPr>
      <w:r w:rsidRPr="00F766AD">
        <w:t xml:space="preserve">A berendezések, eszközök, gépek állagát meg kell óvni. </w:t>
      </w:r>
    </w:p>
    <w:p w:rsidR="001436E5" w:rsidRDefault="001436E5" w:rsidP="001436E5">
      <w:pPr>
        <w:pStyle w:val="paragrafus3"/>
      </w:pPr>
      <w:r w:rsidRPr="00F766AD">
        <w:t>A veszélyes környezet biztonsági</w:t>
      </w:r>
      <w:r>
        <w:t xml:space="preserve"> szabályait be kell tartani.</w:t>
      </w:r>
    </w:p>
    <w:p w:rsidR="001436E5" w:rsidRPr="00F766AD" w:rsidRDefault="001436E5" w:rsidP="001436E5">
      <w:pPr>
        <w:pStyle w:val="paragrafus3"/>
      </w:pPr>
      <w:r w:rsidRPr="00F766AD">
        <w:t xml:space="preserve">Egészségügyi kockázatot, veszélyes helyzetet magában rejtő gyakorlat, munkavégzés során a kiadott egyéni védőfelszerelést, védőruházatot viselni kell. </w:t>
      </w:r>
    </w:p>
    <w:p w:rsidR="001436E5" w:rsidRDefault="001436E5" w:rsidP="001436E5">
      <w:pPr>
        <w:pStyle w:val="paragrafus3"/>
      </w:pPr>
      <w:r w:rsidRPr="00F766AD">
        <w:t>A hallgató felelős a védőfelszerelés állapotának megőrzéséért. A védőeszköz elhasználódását a gyakorlati oktatás vezetőjének jelenteni kell, a védelemre nem alkalmas védőeszköz</w:t>
      </w:r>
      <w:r>
        <w:t xml:space="preserve"> haladéktalan kicserélése érdekében.</w:t>
      </w:r>
    </w:p>
    <w:p w:rsidR="001436E5" w:rsidRDefault="001436E5" w:rsidP="001436E5">
      <w:pPr>
        <w:pStyle w:val="paragrafus3"/>
      </w:pPr>
      <w:r>
        <w:t xml:space="preserve">A hallgatók az adott munkakörben foglalkoztatott dolgozókkal azonos elbírálás alá esnek a védőfelszerelés, védőruházat, védőital juttatás, tisztálkodási és étkezési lehetőség biztosítása, a szúrópróbaszerű, illetve gyanú miatt kezdeményezett </w:t>
      </w:r>
      <w:r w:rsidRPr="00F766AD">
        <w:t>munkahelyi</w:t>
      </w:r>
      <w:r>
        <w:t xml:space="preserve"> ittasságvizsgálat tekintetében.</w:t>
      </w:r>
    </w:p>
    <w:p w:rsidR="001436E5" w:rsidRDefault="001436E5" w:rsidP="001436E5">
      <w:pPr>
        <w:pStyle w:val="Cmsor2"/>
      </w:pPr>
      <w:bookmarkStart w:id="33" w:name="_Toc225216520"/>
      <w:bookmarkStart w:id="34" w:name="_Toc239223121"/>
      <w:bookmarkStart w:id="35" w:name="_Toc432144321"/>
      <w:bookmarkStart w:id="36" w:name="_Toc508224117"/>
      <w:r>
        <w:t>Munkabalesetek bejelentése</w:t>
      </w:r>
      <w:bookmarkEnd w:id="33"/>
      <w:bookmarkEnd w:id="34"/>
      <w:bookmarkEnd w:id="35"/>
      <w:bookmarkEnd w:id="36"/>
    </w:p>
    <w:p w:rsidR="001436E5" w:rsidRDefault="001436E5" w:rsidP="001436E5">
      <w:pPr>
        <w:pStyle w:val="paragrafus1"/>
        <w:numPr>
          <w:ilvl w:val="0"/>
          <w:numId w:val="4"/>
        </w:numPr>
        <w:ind w:hanging="7513"/>
      </w:pPr>
    </w:p>
    <w:p w:rsidR="001436E5" w:rsidRDefault="001436E5" w:rsidP="001436E5">
      <w:pPr>
        <w:pStyle w:val="paragrafus2"/>
      </w:pPr>
      <w:r>
        <w:t>A hallgató a gyakorlati foglalkozás, munkavégzés során történt minden balesetét , a tanulmányai folytatását nem érintő, munkaidő kieséssel nem járó sérülést és rosszullétet is köteles a gyakorlat vezetőjének vagy az oktatónak bejelenteni.</w:t>
      </w:r>
    </w:p>
    <w:p w:rsidR="001436E5" w:rsidRDefault="001436E5" w:rsidP="001436E5">
      <w:pPr>
        <w:pStyle w:val="paragrafus2"/>
      </w:pPr>
      <w:r>
        <w:lastRenderedPageBreak/>
        <w:t>Ha a sérült bármilyen ok miatt akadályozva van, balesetét nem tudja jelenteni, azt annak kell megtennie, aki a sérülésről tudomással bír.</w:t>
      </w:r>
    </w:p>
    <w:p w:rsidR="001436E5" w:rsidRDefault="001436E5" w:rsidP="001436E5">
      <w:pPr>
        <w:pStyle w:val="paragrafus2"/>
      </w:pPr>
      <w:r>
        <w:t>A gyakorlati foglalkozást végző oktató, a munkát irányító minden balesetről, sérülésről, rosszullétről jegyzőkönyvet vesz fel.</w:t>
      </w:r>
    </w:p>
    <w:p w:rsidR="001436E5" w:rsidRDefault="001436E5" w:rsidP="001436E5">
      <w:pPr>
        <w:pStyle w:val="paragrafus2"/>
      </w:pPr>
      <w:r>
        <w:t>Ha a baleset nem minősül munkabalesetnek, akkor erről a jogorvoslat lehetőségével a hallgató értesítést kap.</w:t>
      </w:r>
    </w:p>
    <w:p w:rsidR="001436E5" w:rsidRDefault="001436E5" w:rsidP="001436E5">
      <w:pPr>
        <w:pStyle w:val="paragrafus2"/>
      </w:pPr>
      <w:r>
        <w:t>Nem tekinthető hallgatói balesetnek az a baleset, amely a sérültet menet közben a gyakorlati oktatás, munkavégzés helyszínére, illetve onnan vissza a szálláshelyére éri.</w:t>
      </w:r>
    </w:p>
    <w:p w:rsidR="001436E5" w:rsidRDefault="001436E5" w:rsidP="001436E5">
      <w:pPr>
        <w:pStyle w:val="paragrafus2"/>
      </w:pPr>
      <w:r>
        <w:t>Amennyiben az oktató a hallgatói baleset késedelmesen jelenti, úgy ellene fegyelmi vizsgálat indítható.</w:t>
      </w:r>
    </w:p>
    <w:p w:rsidR="001436E5" w:rsidRDefault="001436E5" w:rsidP="001436E5">
      <w:pPr>
        <w:pStyle w:val="Cmsor2"/>
      </w:pPr>
      <w:bookmarkStart w:id="37" w:name="_Toc225216521"/>
      <w:bookmarkStart w:id="38" w:name="_Toc239223122"/>
      <w:bookmarkStart w:id="39" w:name="_Toc432144322"/>
      <w:bookmarkStart w:id="40" w:name="_Toc508224118"/>
      <w:r>
        <w:t>Hallgatói rendezvények engedélyeztetési, szervezési szabályai</w:t>
      </w:r>
      <w:bookmarkEnd w:id="37"/>
      <w:bookmarkEnd w:id="38"/>
      <w:bookmarkEnd w:id="39"/>
      <w:bookmarkEnd w:id="40"/>
    </w:p>
    <w:p w:rsidR="001436E5" w:rsidRDefault="001436E5" w:rsidP="001436E5">
      <w:pPr>
        <w:pStyle w:val="paragrafus1"/>
        <w:numPr>
          <w:ilvl w:val="0"/>
          <w:numId w:val="4"/>
        </w:numPr>
        <w:ind w:hanging="7513"/>
      </w:pPr>
    </w:p>
    <w:p w:rsidR="001436E5" w:rsidRDefault="001436E5" w:rsidP="001436E5">
      <w:pPr>
        <w:pStyle w:val="paragrafus2"/>
      </w:pPr>
      <w:r>
        <w:t xml:space="preserve">Az egyetemen tervezett rendezvényt legkésőbb a rendezvény </w:t>
      </w:r>
      <w:r w:rsidRPr="00A9339F">
        <w:t>előtt 10 nappal</w:t>
      </w:r>
      <w:r>
        <w:t xml:space="preserve"> kérelmezni kell, a rendezvényt a kancellár és a rektor engedélyezi.</w:t>
      </w:r>
    </w:p>
    <w:p w:rsidR="001436E5" w:rsidRPr="00DB3F1A" w:rsidRDefault="001436E5" w:rsidP="001436E5">
      <w:pPr>
        <w:pStyle w:val="paragrafus2"/>
      </w:pPr>
      <w:r w:rsidRPr="00DB3F1A">
        <w:t xml:space="preserve">Az írásbeli </w:t>
      </w:r>
      <w:r>
        <w:t>kérelem</w:t>
      </w:r>
      <w:r w:rsidRPr="00DB3F1A">
        <w:t>nek tartalmaznia kell:</w:t>
      </w:r>
    </w:p>
    <w:p w:rsidR="001436E5" w:rsidRPr="00F766AD" w:rsidRDefault="001436E5" w:rsidP="001436E5">
      <w:pPr>
        <w:pStyle w:val="paragrafus3"/>
      </w:pPr>
      <w:r w:rsidRPr="00DB3F1A">
        <w:t xml:space="preserve">a tervezett </w:t>
      </w:r>
      <w:r w:rsidRPr="00F766AD">
        <w:t>rendezvény kezdetének és befejezésének várható időpontját, helyszínét;</w:t>
      </w:r>
    </w:p>
    <w:p w:rsidR="001436E5" w:rsidRPr="00F766AD" w:rsidRDefault="001436E5" w:rsidP="001436E5">
      <w:pPr>
        <w:pStyle w:val="paragrafus3"/>
      </w:pPr>
      <w:r w:rsidRPr="00F766AD">
        <w:t>a rendezvény célját, illetőleg napirendjét;</w:t>
      </w:r>
    </w:p>
    <w:p w:rsidR="001436E5" w:rsidRPr="00F766AD" w:rsidRDefault="001436E5" w:rsidP="001436E5">
      <w:pPr>
        <w:pStyle w:val="paragrafus3"/>
      </w:pPr>
      <w:r w:rsidRPr="00F766AD">
        <w:t>a rendezvényen résztvevők várható létszámát, a rendezvény zavartalan lebonyolítását biztosító rendezők számát;</w:t>
      </w:r>
    </w:p>
    <w:p w:rsidR="001436E5" w:rsidRPr="00DB3F1A" w:rsidRDefault="001436E5" w:rsidP="001436E5">
      <w:pPr>
        <w:pStyle w:val="paragrafus3"/>
      </w:pPr>
      <w:r w:rsidRPr="00F766AD">
        <w:t>a rendezvényt szervező</w:t>
      </w:r>
      <w:r w:rsidRPr="00DB3F1A">
        <w:t xml:space="preserve"> szerv vagy személyek és a szervezők képviseletére jogosult</w:t>
      </w:r>
      <w:r>
        <w:t xml:space="preserve"> (</w:t>
      </w:r>
      <w:r w:rsidRPr="00DB3F1A">
        <w:t>személy nevét és címét.</w:t>
      </w:r>
    </w:p>
    <w:p w:rsidR="001436E5" w:rsidRDefault="001436E5" w:rsidP="001436E5">
      <w:pPr>
        <w:pStyle w:val="paragrafus2"/>
      </w:pPr>
      <w:r>
        <w:t>A rendezvény rendjének biztosításáért a szervező felelős. Az egyetem a rendezvény rendjének fenntartásában a szervező kérésére közreműködik, a rendezvényt megzavaró személyek eltávolításáról intézkedik.</w:t>
      </w:r>
    </w:p>
    <w:p w:rsidR="001436E5" w:rsidRDefault="001436E5" w:rsidP="001436E5">
      <w:pPr>
        <w:pStyle w:val="paragrafus2"/>
      </w:pPr>
      <w:r>
        <w:t xml:space="preserve">A rendezvény szervezéséért felelős személy felelős </w:t>
      </w:r>
    </w:p>
    <w:p w:rsidR="001436E5" w:rsidRDefault="001436E5" w:rsidP="001436E5">
      <w:pPr>
        <w:pStyle w:val="paragrafus3"/>
      </w:pPr>
      <w:r>
        <w:t xml:space="preserve">annak </w:t>
      </w:r>
      <w:r w:rsidRPr="006B1742">
        <w:t>biztosításáért</w:t>
      </w:r>
      <w:r>
        <w:t xml:space="preserve">, hogy a résztvevők csak az engedélyezett helyiségeket, tereket használják, </w:t>
      </w:r>
    </w:p>
    <w:p w:rsidR="001436E5" w:rsidRDefault="001436E5" w:rsidP="001436E5">
      <w:pPr>
        <w:pStyle w:val="paragrafus3"/>
      </w:pPr>
      <w:r>
        <w:t xml:space="preserve">a </w:t>
      </w:r>
      <w:r w:rsidRPr="00F766AD">
        <w:t>vészhelyzetre</w:t>
      </w:r>
      <w:r>
        <w:t xml:space="preserve"> való felkészülésért, beleértve </w:t>
      </w:r>
    </w:p>
    <w:p w:rsidR="001436E5" w:rsidRPr="00516B2B" w:rsidRDefault="001436E5" w:rsidP="001436E5">
      <w:pPr>
        <w:pStyle w:val="paragrafus4"/>
        <w:tabs>
          <w:tab w:val="clear" w:pos="1211"/>
          <w:tab w:val="num" w:pos="900"/>
        </w:tabs>
      </w:pPr>
      <w:r w:rsidRPr="00516B2B">
        <w:t>a tűzoltókészülékek, tűzcsapok helyének megismerését,</w:t>
      </w:r>
    </w:p>
    <w:p w:rsidR="001436E5" w:rsidRPr="00516B2B" w:rsidRDefault="001436E5" w:rsidP="001436E5">
      <w:pPr>
        <w:pStyle w:val="paragrafus4"/>
        <w:tabs>
          <w:tab w:val="clear" w:pos="1211"/>
          <w:tab w:val="num" w:pos="900"/>
        </w:tabs>
      </w:pPr>
      <w:r w:rsidRPr="00516B2B">
        <w:t>a vészkijáratok</w:t>
      </w:r>
      <w:r w:rsidRPr="00516B2B" w:rsidDel="00E45CB5">
        <w:t xml:space="preserve"> </w:t>
      </w:r>
      <w:r w:rsidRPr="00516B2B">
        <w:t>kinyitását,</w:t>
      </w:r>
    </w:p>
    <w:p w:rsidR="001436E5" w:rsidRPr="00516B2B" w:rsidRDefault="001436E5" w:rsidP="001436E5">
      <w:pPr>
        <w:pStyle w:val="paragrafus4"/>
        <w:tabs>
          <w:tab w:val="clear" w:pos="1211"/>
          <w:tab w:val="num" w:pos="900"/>
        </w:tabs>
      </w:pPr>
      <w:r w:rsidRPr="00516B2B">
        <w:t>elsősegélynyújtó hely kijelölését,</w:t>
      </w:r>
    </w:p>
    <w:p w:rsidR="001436E5" w:rsidRDefault="001436E5" w:rsidP="001436E5">
      <w:pPr>
        <w:pStyle w:val="paragrafus3"/>
      </w:pPr>
      <w:r>
        <w:t xml:space="preserve">annak biztosításáért, hogy </w:t>
      </w:r>
    </w:p>
    <w:p w:rsidR="001436E5" w:rsidRDefault="001436E5" w:rsidP="001436E5">
      <w:pPr>
        <w:pStyle w:val="paragrafus4"/>
        <w:tabs>
          <w:tab w:val="clear" w:pos="1211"/>
          <w:tab w:val="num" w:pos="900"/>
        </w:tabs>
      </w:pPr>
      <w:r>
        <w:t>a tűzoltó készülékek, tűzcsapok és a</w:t>
      </w:r>
    </w:p>
    <w:p w:rsidR="001436E5" w:rsidRDefault="001436E5" w:rsidP="001436E5">
      <w:pPr>
        <w:pStyle w:val="paragrafus4"/>
        <w:tabs>
          <w:tab w:val="clear" w:pos="1211"/>
          <w:tab w:val="num" w:pos="900"/>
        </w:tabs>
      </w:pPr>
      <w:r>
        <w:t>vészkijáratok hozzáférhetők legyenek.</w:t>
      </w:r>
    </w:p>
    <w:p w:rsidR="001436E5" w:rsidRDefault="001436E5" w:rsidP="001436E5">
      <w:pPr>
        <w:pStyle w:val="paragrafus2"/>
      </w:pPr>
      <w:r>
        <w:t>A kötelező érvényű használati szabályok és magatartási követelmények a rendezvény idején is érvényesek.</w:t>
      </w:r>
    </w:p>
    <w:p w:rsidR="001436E5" w:rsidRDefault="001436E5" w:rsidP="001436E5">
      <w:pPr>
        <w:pStyle w:val="paragrafus2"/>
      </w:pPr>
      <w:r>
        <w:t>Az egyetem vagyonvédelemért felelős munkatársa figyelmeztetését, illetve utasításait  a rendezvény ideje alatt is figyelembe kell venni!</w:t>
      </w:r>
    </w:p>
    <w:p w:rsidR="001436E5" w:rsidRDefault="001436E5" w:rsidP="001436E5">
      <w:pPr>
        <w:pStyle w:val="paragrafus2"/>
      </w:pPr>
      <w:r>
        <w:t>Az egyetem a rendezvény szervezői által, illetve a rendezvény alatt a résztvevők által okozott kárt megtéríttetheti, illetve feljelentést tehet.</w:t>
      </w:r>
    </w:p>
    <w:p w:rsidR="001436E5" w:rsidRDefault="001436E5" w:rsidP="001436E5">
      <w:pPr>
        <w:pStyle w:val="paragrafus1"/>
        <w:numPr>
          <w:ilvl w:val="0"/>
          <w:numId w:val="4"/>
        </w:numPr>
        <w:ind w:hanging="7513"/>
      </w:pPr>
    </w:p>
    <w:p w:rsidR="001436E5" w:rsidRPr="00B17579" w:rsidRDefault="001436E5" w:rsidP="001436E5">
      <w:pPr>
        <w:pStyle w:val="paragrafus2"/>
      </w:pPr>
      <w:bookmarkStart w:id="41" w:name="_Ref432140243"/>
      <w:r w:rsidRPr="0055774E">
        <w:t>A felsőoktatási intézmény hivatalos nevének felhasználásával szervezett rendezvény a rendezvény programjainak tartalmáért felelős személy (szervező) kérelmére rektori engedéllyel tartható.</w:t>
      </w:r>
      <w:bookmarkEnd w:id="41"/>
    </w:p>
    <w:p w:rsidR="001436E5" w:rsidRPr="0055774E" w:rsidRDefault="001436E5" w:rsidP="001436E5">
      <w:pPr>
        <w:pStyle w:val="paragrafus2"/>
      </w:pPr>
      <w:r w:rsidRPr="0055774E">
        <w:t>A felsőoktatási intézmény a felsőoktatási intézmény hivatalos nevének felhasználásával szervezett rendezvények szervezőiről a rendezvény kezdetétől számított 5 évig az alábbi személyes és különleges adatok körét tartja nyilván:</w:t>
      </w:r>
    </w:p>
    <w:p w:rsidR="001436E5" w:rsidRPr="00F766AD" w:rsidRDefault="001436E5" w:rsidP="001436E5">
      <w:pPr>
        <w:pStyle w:val="paragrafus3"/>
      </w:pPr>
      <w:r>
        <w:t xml:space="preserve">a </w:t>
      </w:r>
      <w:r w:rsidRPr="00F766AD">
        <w:t xml:space="preserve">természetes személyazonosító adatai, </w:t>
      </w:r>
    </w:p>
    <w:p w:rsidR="001436E5" w:rsidRPr="00F766AD" w:rsidRDefault="001436E5" w:rsidP="001436E5">
      <w:pPr>
        <w:pStyle w:val="paragrafus3"/>
      </w:pPr>
      <w:r w:rsidRPr="00F766AD">
        <w:t>adóazonosító jele,</w:t>
      </w:r>
    </w:p>
    <w:p w:rsidR="001436E5" w:rsidRPr="00F766AD" w:rsidRDefault="001436E5" w:rsidP="001436E5">
      <w:pPr>
        <w:pStyle w:val="paragrafus3"/>
      </w:pPr>
      <w:r w:rsidRPr="00F766AD">
        <w:t>lakóhelye,</w:t>
      </w:r>
    </w:p>
    <w:p w:rsidR="001436E5" w:rsidRPr="00B17579" w:rsidRDefault="001436E5" w:rsidP="001436E5">
      <w:pPr>
        <w:pStyle w:val="paragrafus3"/>
      </w:pPr>
      <w:r w:rsidRPr="00F766AD">
        <w:t>elérhetősége</w:t>
      </w:r>
      <w:r>
        <w:t>.</w:t>
      </w:r>
    </w:p>
    <w:p w:rsidR="001436E5" w:rsidRPr="00B17579" w:rsidRDefault="001436E5" w:rsidP="001436E5">
      <w:pPr>
        <w:pStyle w:val="paragrafus2"/>
      </w:pPr>
      <w:r w:rsidRPr="0055774E">
        <w:t xml:space="preserve">A felsőoktatási intézmény a FIR-be adatot közöl az </w:t>
      </w:r>
      <w:r>
        <w:fldChar w:fldCharType="begin"/>
      </w:r>
      <w:r>
        <w:instrText xml:space="preserve"> REF _Ref432140243 \r \h </w:instrText>
      </w:r>
      <w:r>
        <w:fldChar w:fldCharType="separate"/>
      </w:r>
      <w:r>
        <w:t>(1)</w:t>
      </w:r>
      <w:r>
        <w:fldChar w:fldCharType="end"/>
      </w:r>
      <w:r w:rsidRPr="0055774E">
        <w:t xml:space="preserve"> bekezdés szerint nyilvántartott adatokról. Az adatközlés a Hivatal által meghatározott módon történik.</w:t>
      </w:r>
    </w:p>
    <w:p w:rsidR="001436E5" w:rsidRPr="00B17579" w:rsidRDefault="001436E5" w:rsidP="001436E5">
      <w:pPr>
        <w:pStyle w:val="paragrafus2"/>
      </w:pPr>
      <w:r w:rsidRPr="0055774E">
        <w:t>A rendezvény részvételi felhívásának a szervező nevét tartalmaznia kell</w:t>
      </w:r>
      <w:r>
        <w:t>.</w:t>
      </w:r>
    </w:p>
    <w:p w:rsidR="006C477B" w:rsidRDefault="006C477B" w:rsidP="001436E5">
      <w:bookmarkStart w:id="42" w:name="_GoBack"/>
      <w:bookmarkEnd w:id="6"/>
      <w:bookmarkEnd w:id="7"/>
      <w:bookmarkEnd w:id="42"/>
    </w:p>
    <w:sectPr w:rsidR="006C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E6" w:rsidRDefault="00C85EE6" w:rsidP="001436E5">
      <w:pPr>
        <w:spacing w:after="0" w:line="240" w:lineRule="auto"/>
      </w:pPr>
      <w:r>
        <w:separator/>
      </w:r>
    </w:p>
  </w:endnote>
  <w:endnote w:type="continuationSeparator" w:id="0">
    <w:p w:rsidR="00C85EE6" w:rsidRDefault="00C85EE6" w:rsidP="0014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E6" w:rsidRDefault="00C85EE6" w:rsidP="001436E5">
      <w:pPr>
        <w:spacing w:after="0" w:line="240" w:lineRule="auto"/>
      </w:pPr>
      <w:r>
        <w:separator/>
      </w:r>
    </w:p>
  </w:footnote>
  <w:footnote w:type="continuationSeparator" w:id="0">
    <w:p w:rsidR="00C85EE6" w:rsidRDefault="00C85EE6" w:rsidP="001436E5">
      <w:pPr>
        <w:spacing w:after="0" w:line="240" w:lineRule="auto"/>
      </w:pPr>
      <w:r>
        <w:continuationSeparator/>
      </w:r>
    </w:p>
  </w:footnote>
  <w:footnote w:id="1">
    <w:p w:rsidR="001436E5" w:rsidRDefault="001436E5" w:rsidP="001436E5">
      <w:pPr>
        <w:pStyle w:val="Lbjegyzetszveg"/>
      </w:pPr>
      <w:r>
        <w:rPr>
          <w:rStyle w:val="Lbjegyzet-hivatkozs"/>
        </w:rPr>
        <w:footnoteRef/>
      </w:r>
      <w:r>
        <w:t xml:space="preserve">  módosította: a Szenátus 88/2016. (XII.14.) számú határozatával</w:t>
      </w:r>
    </w:p>
    <w:p w:rsidR="001436E5" w:rsidRDefault="001436E5" w:rsidP="001436E5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5E36"/>
    <w:multiLevelType w:val="multilevel"/>
    <w:tmpl w:val="51080A54"/>
    <w:lvl w:ilvl="0">
      <w:start w:val="1"/>
      <w:numFmt w:val="bullet"/>
      <w:pStyle w:val="Gondolatjeles"/>
      <w:lvlText w:val="−"/>
      <w:lvlJc w:val="left"/>
      <w:pPr>
        <w:tabs>
          <w:tab w:val="num" w:pos="709"/>
        </w:tabs>
        <w:ind w:left="709" w:hanging="284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279"/>
        </w:tabs>
        <w:ind w:left="1276" w:hanging="56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CA34C63"/>
    <w:multiLevelType w:val="hybridMultilevel"/>
    <w:tmpl w:val="50D6751C"/>
    <w:lvl w:ilvl="0" w:tplc="040E000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B432A"/>
    <w:multiLevelType w:val="multilevel"/>
    <w:tmpl w:val="95BCD514"/>
    <w:lvl w:ilvl="0">
      <w:start w:val="1"/>
      <w:numFmt w:val="decimal"/>
      <w:pStyle w:val="paragrafus1"/>
      <w:suff w:val="nothing"/>
      <w:lvlText w:val="%1.§ "/>
      <w:lvlJc w:val="left"/>
      <w:pPr>
        <w:ind w:left="8222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709"/>
        </w:tabs>
        <w:ind w:left="709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994"/>
        </w:tabs>
        <w:ind w:left="994" w:hanging="426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E5"/>
    <w:rsid w:val="001436E5"/>
    <w:rsid w:val="006C477B"/>
    <w:rsid w:val="00C8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94960-106C-44FB-A9C0-606187D6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36E5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paragrafus1"/>
    <w:link w:val="Cmsor2Char"/>
    <w:autoRedefine/>
    <w:qFormat/>
    <w:rsid w:val="001436E5"/>
    <w:pPr>
      <w:keepNext/>
      <w:suppressAutoHyphens/>
      <w:spacing w:before="360"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436E5"/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customStyle="1" w:styleId="Fejezetcm">
    <w:name w:val="Fejezetcím"/>
    <w:basedOn w:val="Norml"/>
    <w:next w:val="Cmsor2"/>
    <w:rsid w:val="001436E5"/>
    <w:pPr>
      <w:keepNext/>
      <w:widowControl w:val="0"/>
      <w:spacing w:before="36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hu-HU"/>
    </w:rPr>
  </w:style>
  <w:style w:type="paragraph" w:customStyle="1" w:styleId="paragrafus1">
    <w:name w:val="paragrafus1"/>
    <w:basedOn w:val="Norml"/>
    <w:next w:val="paragrafus2"/>
    <w:link w:val="paragrafus1Char"/>
    <w:rsid w:val="001436E5"/>
    <w:pPr>
      <w:keepNext/>
      <w:widowControl w:val="0"/>
      <w:numPr>
        <w:numId w:val="1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customStyle="1" w:styleId="paragrafus2">
    <w:name w:val="paragrafus2"/>
    <w:basedOn w:val="paragrafus1"/>
    <w:next w:val="paragrafus3"/>
    <w:link w:val="paragrafus2Char"/>
    <w:autoRedefine/>
    <w:qFormat/>
    <w:rsid w:val="001436E5"/>
    <w:pPr>
      <w:keepNext w:val="0"/>
      <w:widowControl/>
      <w:numPr>
        <w:ilvl w:val="1"/>
      </w:numPr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1436E5"/>
    <w:pPr>
      <w:numPr>
        <w:ilvl w:val="2"/>
      </w:numPr>
      <w:tabs>
        <w:tab w:val="left" w:pos="709"/>
      </w:tabs>
      <w:spacing w:before="0" w:after="0"/>
      <w:outlineLvl w:val="2"/>
    </w:pPr>
  </w:style>
  <w:style w:type="character" w:customStyle="1" w:styleId="paragrafus2Char">
    <w:name w:val="paragrafus2 Char"/>
    <w:link w:val="paragrafus2"/>
    <w:locked/>
    <w:rsid w:val="001436E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aragrafus1Char">
    <w:name w:val="paragrafus1 Char"/>
    <w:link w:val="paragrafus1"/>
    <w:locked/>
    <w:rsid w:val="001436E5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paragrafus4">
    <w:name w:val="paragrafus4"/>
    <w:basedOn w:val="Norml"/>
    <w:rsid w:val="001436E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Gondolatjeles">
    <w:name w:val="Gondolatjeles"/>
    <w:basedOn w:val="Norml"/>
    <w:rsid w:val="001436E5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bjegyzetszvegChar">
    <w:name w:val="Lábjegyzetszöveg Char"/>
    <w:link w:val="Lbjegyzetszveg"/>
    <w:semiHidden/>
    <w:rsid w:val="001436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1436E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1">
    <w:name w:val="Lábjegyzetszöveg Char1"/>
    <w:basedOn w:val="Bekezdsalapbettpusa"/>
    <w:uiPriority w:val="99"/>
    <w:semiHidden/>
    <w:rsid w:val="001436E5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rsid w:val="001436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11373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Csilla</dc:creator>
  <cp:keywords/>
  <dc:description/>
  <cp:lastModifiedBy>Varga Csilla</cp:lastModifiedBy>
  <cp:revision>1</cp:revision>
  <dcterms:created xsi:type="dcterms:W3CDTF">2018-09-02T18:25:00Z</dcterms:created>
  <dcterms:modified xsi:type="dcterms:W3CDTF">2018-09-02T18:25:00Z</dcterms:modified>
</cp:coreProperties>
</file>